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A9D07" w14:textId="77777777" w:rsidR="000B77ED" w:rsidRPr="005B3F18" w:rsidRDefault="000B77ED">
      <w:pPr>
        <w:rPr>
          <w:b/>
          <w:bCs/>
          <w:u w:val="single"/>
        </w:rPr>
      </w:pPr>
    </w:p>
    <w:p w14:paraId="6C506C4A" w14:textId="56C246B1" w:rsidR="005B3F18" w:rsidRPr="005B3F18" w:rsidRDefault="005B3F18" w:rsidP="005B3F18">
      <w:pPr>
        <w:jc w:val="center"/>
        <w:rPr>
          <w:b/>
          <w:bCs/>
          <w:u w:val="single"/>
        </w:rPr>
      </w:pPr>
      <w:r w:rsidRPr="005B3F18">
        <w:rPr>
          <w:b/>
          <w:bCs/>
          <w:u w:val="single"/>
        </w:rPr>
        <w:t>7-minute briefing</w:t>
      </w:r>
    </w:p>
    <w:p w14:paraId="18977894" w14:textId="4CED9801" w:rsidR="005B3F18" w:rsidRPr="005B3F18" w:rsidRDefault="005B3F18" w:rsidP="005B3F18">
      <w:pPr>
        <w:jc w:val="center"/>
        <w:rPr>
          <w:b/>
          <w:bCs/>
          <w:u w:val="single"/>
        </w:rPr>
      </w:pPr>
      <w:r w:rsidRPr="005B3F18">
        <w:rPr>
          <w:b/>
          <w:bCs/>
          <w:u w:val="single"/>
        </w:rPr>
        <w:t>Home Visits</w:t>
      </w:r>
    </w:p>
    <w:p w14:paraId="27F9C088" w14:textId="77777777" w:rsidR="005B3F18" w:rsidRPr="007363C0" w:rsidRDefault="005B3F18" w:rsidP="005B3F18">
      <w:pPr>
        <w:rPr>
          <w:rFonts w:cstheme="minorHAnsi"/>
          <w:b/>
          <w:bCs/>
          <w:color w:val="000000" w:themeColor="text1"/>
        </w:rPr>
      </w:pPr>
      <w:r>
        <w:rPr>
          <w:rFonts w:cstheme="minorHAnsi"/>
          <w:b/>
          <w:bCs/>
          <w:color w:val="000000" w:themeColor="text1"/>
        </w:rPr>
        <w:t xml:space="preserve">1. </w:t>
      </w:r>
      <w:r w:rsidRPr="007363C0">
        <w:rPr>
          <w:rFonts w:cstheme="minorHAnsi"/>
          <w:b/>
          <w:bCs/>
          <w:color w:val="000000" w:themeColor="text1"/>
        </w:rPr>
        <w:t>What is this briefing about?</w:t>
      </w:r>
    </w:p>
    <w:p w14:paraId="335BDF00" w14:textId="77777777" w:rsidR="005B3F18" w:rsidRPr="00C57548" w:rsidRDefault="005B3F18" w:rsidP="005B3F18">
      <w:pPr>
        <w:rPr>
          <w:rFonts w:cstheme="minorHAnsi"/>
          <w:color w:val="000000" w:themeColor="text1"/>
        </w:rPr>
      </w:pPr>
      <w:r w:rsidRPr="005172A7">
        <w:rPr>
          <w:rFonts w:cstheme="minorHAnsi"/>
          <w:color w:val="000000" w:themeColor="text1"/>
        </w:rPr>
        <w:t>This briefing gives guidance to practitioners undertaking home visits where there are safeguarding concerns. It is not intended to replace any agency’s existing procedures.</w:t>
      </w:r>
    </w:p>
    <w:p w14:paraId="1B3F4A9A" w14:textId="77777777" w:rsidR="005B3F18" w:rsidRPr="007363C0" w:rsidRDefault="005B3F18" w:rsidP="005B3F18">
      <w:pPr>
        <w:rPr>
          <w:rFonts w:ascii="Calibri" w:hAnsi="Calibri" w:cs="Calibri"/>
          <w:b/>
          <w:bCs/>
          <w:color w:val="000000" w:themeColor="text1"/>
        </w:rPr>
      </w:pPr>
      <w:r w:rsidRPr="009B3A4B">
        <w:rPr>
          <w:rFonts w:ascii="Calibri" w:hAnsi="Calibri" w:cs="Calibri"/>
          <w:b/>
          <w:bCs/>
          <w:color w:val="000000" w:themeColor="text1"/>
        </w:rPr>
        <w:t>2.</w:t>
      </w:r>
      <w:r>
        <w:rPr>
          <w:rFonts w:ascii="Calibri" w:hAnsi="Calibri" w:cs="Calibri"/>
          <w:color w:val="000000" w:themeColor="text1"/>
        </w:rPr>
        <w:t xml:space="preserve"> </w:t>
      </w:r>
      <w:r w:rsidRPr="007363C0">
        <w:rPr>
          <w:rFonts w:ascii="Calibri" w:hAnsi="Calibri" w:cs="Calibri"/>
          <w:b/>
          <w:bCs/>
          <w:color w:val="000000" w:themeColor="text1"/>
        </w:rPr>
        <w:t>Why do a home visit?</w:t>
      </w:r>
    </w:p>
    <w:p w14:paraId="661DC72A" w14:textId="77777777" w:rsidR="005B3F18" w:rsidRPr="007363C0" w:rsidRDefault="005B3F18" w:rsidP="005B3F18">
      <w:pPr>
        <w:rPr>
          <w:rFonts w:ascii="Calibri" w:hAnsi="Calibri" w:cs="Calibri"/>
          <w:color w:val="000000" w:themeColor="text1"/>
        </w:rPr>
      </w:pPr>
      <w:r w:rsidRPr="005172A7">
        <w:rPr>
          <w:rFonts w:ascii="Calibri" w:hAnsi="Calibri" w:cs="Calibri"/>
          <w:color w:val="000000" w:themeColor="text1"/>
        </w:rPr>
        <w:t>A common finding of case reviews is that practitioners don’t understand the child’s world and don’t demonstrate professional curiosity. A home visit is a great opportunity to do this. If you have concerns about a child, there may be times where it is necessary to visit the home even if this is not part of your everyday practice (for example school, nursery). If home visits are part of your role (such as health visitor, police, family support worker) it is important to make the most of the chance to see the child in their own environment.</w:t>
      </w:r>
    </w:p>
    <w:p w14:paraId="4E42E1F0" w14:textId="77777777" w:rsidR="005B3F18" w:rsidRPr="007363C0" w:rsidRDefault="005B3F18" w:rsidP="005B3F18">
      <w:pPr>
        <w:rPr>
          <w:rFonts w:cstheme="minorHAnsi"/>
          <w:b/>
          <w:bCs/>
          <w:color w:val="000000" w:themeColor="text1"/>
        </w:rPr>
      </w:pPr>
      <w:r>
        <w:rPr>
          <w:rFonts w:cstheme="minorHAnsi"/>
          <w:b/>
          <w:bCs/>
          <w:color w:val="000000" w:themeColor="text1"/>
        </w:rPr>
        <w:t xml:space="preserve">3. </w:t>
      </w:r>
      <w:r w:rsidRPr="007363C0">
        <w:rPr>
          <w:rFonts w:cstheme="minorHAnsi"/>
          <w:b/>
          <w:bCs/>
          <w:color w:val="000000" w:themeColor="text1"/>
        </w:rPr>
        <w:t>What do I need to do before visiting the home?</w:t>
      </w:r>
    </w:p>
    <w:p w14:paraId="76E2A673" w14:textId="77777777" w:rsidR="005B3F18" w:rsidRPr="007363C0" w:rsidRDefault="005B3F18" w:rsidP="005B3F18">
      <w:pPr>
        <w:rPr>
          <w:rFonts w:cstheme="minorHAnsi"/>
          <w:color w:val="000000" w:themeColor="text1"/>
        </w:rPr>
      </w:pPr>
      <w:r w:rsidRPr="005172A7">
        <w:rPr>
          <w:rFonts w:cstheme="minorHAnsi"/>
          <w:color w:val="000000" w:themeColor="text1"/>
        </w:rPr>
        <w:t>Be clear and open with the family about your reason for visiting. Decide whether this will be a planned or an unannounced visit. Consider the best day and time to go, for example if you want the child to be present, or if you want to observe something specific like a mealtime. If personal safety is a concern</w:t>
      </w:r>
      <w:r>
        <w:rPr>
          <w:rFonts w:cstheme="minorHAnsi"/>
          <w:color w:val="000000" w:themeColor="text1"/>
        </w:rPr>
        <w:t>,</w:t>
      </w:r>
      <w:r w:rsidRPr="005172A7">
        <w:rPr>
          <w:rFonts w:cstheme="minorHAnsi"/>
          <w:color w:val="000000" w:themeColor="text1"/>
        </w:rPr>
        <w:t xml:space="preserve"> go with a colleague or visit with another agency. In these circumstances, assess the safety for the child.</w:t>
      </w:r>
    </w:p>
    <w:p w14:paraId="3DAB12BF" w14:textId="77777777" w:rsidR="005B3F18" w:rsidRPr="007363C0" w:rsidRDefault="005B3F18" w:rsidP="005B3F18">
      <w:pPr>
        <w:rPr>
          <w:rFonts w:ascii="Calibri" w:hAnsi="Calibri" w:cs="Calibri"/>
          <w:b/>
          <w:bCs/>
          <w:color w:val="000000" w:themeColor="text1"/>
        </w:rPr>
      </w:pPr>
      <w:r>
        <w:rPr>
          <w:rFonts w:ascii="Calibri" w:hAnsi="Calibri" w:cs="Calibri"/>
          <w:b/>
          <w:bCs/>
          <w:color w:val="000000" w:themeColor="text1"/>
        </w:rPr>
        <w:t xml:space="preserve">4. </w:t>
      </w:r>
      <w:r w:rsidRPr="007363C0">
        <w:rPr>
          <w:rFonts w:ascii="Calibri" w:hAnsi="Calibri" w:cs="Calibri"/>
          <w:b/>
          <w:bCs/>
          <w:color w:val="000000" w:themeColor="text1"/>
        </w:rPr>
        <w:t>What should I look for in the home?</w:t>
      </w:r>
    </w:p>
    <w:p w14:paraId="66FB0360" w14:textId="77777777" w:rsidR="005B3F18" w:rsidRPr="007363C0" w:rsidRDefault="005B3F18" w:rsidP="005B3F18">
      <w:pPr>
        <w:rPr>
          <w:rFonts w:ascii="Calibri" w:hAnsi="Calibri" w:cs="Calibri"/>
          <w:color w:val="000000" w:themeColor="text1"/>
        </w:rPr>
      </w:pPr>
      <w:r w:rsidRPr="005172A7">
        <w:rPr>
          <w:rFonts w:ascii="Calibri" w:hAnsi="Calibri" w:cs="Calibri"/>
          <w:color w:val="000000" w:themeColor="text1"/>
        </w:rPr>
        <w:t>Record who lives in the home and their relationship to the child. Note if anyone else is present. See where the child sleeps, eats, washes, and plays if possible – this can tell us a lot about their lived experience. In some cases, the living areas of the home were clean and tidy</w:t>
      </w:r>
      <w:r>
        <w:rPr>
          <w:rFonts w:ascii="Calibri" w:hAnsi="Calibri" w:cs="Calibri"/>
          <w:color w:val="000000" w:themeColor="text1"/>
        </w:rPr>
        <w:t>,</w:t>
      </w:r>
      <w:r w:rsidRPr="005172A7">
        <w:rPr>
          <w:rFonts w:ascii="Calibri" w:hAnsi="Calibri" w:cs="Calibri"/>
          <w:color w:val="000000" w:themeColor="text1"/>
        </w:rPr>
        <w:t xml:space="preserve"> but the child’s bedroom was in very poor condition. Asking open, non-judgmental questions is best. Use all your senses, such as what you can smell, to give you clues about the home environment. Observe the child’s interactions with their family. If the home is untidy or unclean</w:t>
      </w:r>
      <w:r>
        <w:rPr>
          <w:rFonts w:ascii="Calibri" w:hAnsi="Calibri" w:cs="Calibri"/>
          <w:color w:val="000000" w:themeColor="text1"/>
        </w:rPr>
        <w:t>,</w:t>
      </w:r>
      <w:r w:rsidRPr="005172A7">
        <w:rPr>
          <w:rFonts w:ascii="Calibri" w:hAnsi="Calibri" w:cs="Calibri"/>
          <w:color w:val="000000" w:themeColor="text1"/>
        </w:rPr>
        <w:t xml:space="preserve"> consider whether this is likely to cause harm to the child. Also consider efforts made by the family to make the best of their circumstances, particularly if they are living in temporary accommodation.</w:t>
      </w:r>
    </w:p>
    <w:p w14:paraId="06550F84" w14:textId="77777777" w:rsidR="005B3F18" w:rsidRPr="00611E48" w:rsidRDefault="005B3F18" w:rsidP="005B3F18">
      <w:pPr>
        <w:rPr>
          <w:rFonts w:cstheme="minorHAnsi"/>
          <w:b/>
          <w:bCs/>
          <w:color w:val="000000" w:themeColor="text1"/>
        </w:rPr>
      </w:pPr>
      <w:r>
        <w:rPr>
          <w:rFonts w:cstheme="minorHAnsi"/>
          <w:b/>
          <w:bCs/>
          <w:color w:val="000000" w:themeColor="text1"/>
        </w:rPr>
        <w:t xml:space="preserve">5. </w:t>
      </w:r>
      <w:r w:rsidRPr="00611E48">
        <w:rPr>
          <w:rFonts w:cstheme="minorHAnsi"/>
          <w:b/>
          <w:bCs/>
          <w:color w:val="000000" w:themeColor="text1"/>
        </w:rPr>
        <w:t>What if I can’t gain access?</w:t>
      </w:r>
    </w:p>
    <w:p w14:paraId="0840F939" w14:textId="77777777" w:rsidR="005B3F18" w:rsidRPr="00611E48" w:rsidRDefault="005B3F18" w:rsidP="005B3F18">
      <w:pPr>
        <w:rPr>
          <w:rFonts w:cstheme="minorHAnsi"/>
          <w:color w:val="000000" w:themeColor="text1"/>
        </w:rPr>
      </w:pPr>
      <w:r w:rsidRPr="005172A7">
        <w:rPr>
          <w:rFonts w:cstheme="minorHAnsi"/>
          <w:color w:val="000000" w:themeColor="text1"/>
        </w:rPr>
        <w:t>If you have safeguarding concerns and are unable to access the home, discuss with your supervisor and talk to other professionals involved. Record agreed actions of discussions and review the outcome. Use the escalation process if you remain worried.</w:t>
      </w:r>
    </w:p>
    <w:p w14:paraId="1EA8F35C" w14:textId="77777777" w:rsidR="005B3F18" w:rsidRPr="00611E48" w:rsidRDefault="005B3F18" w:rsidP="005B3F18">
      <w:pPr>
        <w:rPr>
          <w:rFonts w:ascii="Calibri" w:hAnsi="Calibri" w:cs="Calibri"/>
          <w:b/>
          <w:bCs/>
          <w:color w:val="000000" w:themeColor="text1"/>
        </w:rPr>
      </w:pPr>
      <w:r>
        <w:rPr>
          <w:rFonts w:ascii="Calibri" w:hAnsi="Calibri" w:cs="Calibri"/>
          <w:b/>
          <w:bCs/>
          <w:color w:val="000000" w:themeColor="text1"/>
        </w:rPr>
        <w:t xml:space="preserve">6. </w:t>
      </w:r>
      <w:r w:rsidRPr="00611E48">
        <w:rPr>
          <w:rFonts w:ascii="Calibri" w:hAnsi="Calibri" w:cs="Calibri"/>
          <w:b/>
          <w:bCs/>
          <w:color w:val="000000" w:themeColor="text1"/>
        </w:rPr>
        <w:t>Further resources:</w:t>
      </w:r>
    </w:p>
    <w:p w14:paraId="528CCA7E" w14:textId="77777777" w:rsidR="005B3F18" w:rsidRPr="005172A7" w:rsidRDefault="005B3F18" w:rsidP="005B3F18">
      <w:pPr>
        <w:pStyle w:val="ListParagraph"/>
        <w:numPr>
          <w:ilvl w:val="0"/>
          <w:numId w:val="1"/>
        </w:numPr>
        <w:rPr>
          <w:rFonts w:ascii="Calibri" w:hAnsi="Calibri" w:cs="Calibri"/>
          <w:color w:val="000000" w:themeColor="text1"/>
        </w:rPr>
      </w:pPr>
      <w:r w:rsidRPr="005172A7">
        <w:rPr>
          <w:rFonts w:ascii="Calibri" w:hAnsi="Calibri" w:cs="Calibri"/>
          <w:color w:val="000000" w:themeColor="text1"/>
        </w:rPr>
        <w:t xml:space="preserve">Birmingham Home Conditions Checklist in the </w:t>
      </w:r>
      <w:hyperlink r:id="rId7" w:history="1">
        <w:r w:rsidRPr="005172A7">
          <w:rPr>
            <w:rStyle w:val="Hyperlink"/>
            <w:rFonts w:ascii="Calibri" w:hAnsi="Calibri" w:cs="Calibri"/>
          </w:rPr>
          <w:t>Neglect Toolkit</w:t>
        </w:r>
      </w:hyperlink>
      <w:r w:rsidRPr="005172A7">
        <w:rPr>
          <w:rFonts w:ascii="Calibri" w:hAnsi="Calibri" w:cs="Calibri"/>
          <w:color w:val="000000" w:themeColor="text1"/>
        </w:rPr>
        <w:t xml:space="preserve"> can help assess the home environment</w:t>
      </w:r>
      <w:r>
        <w:rPr>
          <w:rFonts w:ascii="Calibri" w:hAnsi="Calibri" w:cs="Calibri"/>
          <w:color w:val="000000" w:themeColor="text1"/>
        </w:rPr>
        <w:t>.</w:t>
      </w:r>
    </w:p>
    <w:p w14:paraId="7E4114D8" w14:textId="77777777" w:rsidR="005B3F18" w:rsidRPr="005172A7" w:rsidRDefault="005B3F18" w:rsidP="005B3F18">
      <w:pPr>
        <w:pStyle w:val="ListParagraph"/>
        <w:numPr>
          <w:ilvl w:val="0"/>
          <w:numId w:val="1"/>
        </w:numPr>
        <w:rPr>
          <w:rFonts w:ascii="Calibri" w:hAnsi="Calibri" w:cs="Calibri"/>
          <w:color w:val="000000" w:themeColor="text1"/>
        </w:rPr>
      </w:pPr>
      <w:r w:rsidRPr="005172A7">
        <w:rPr>
          <w:rFonts w:ascii="Calibri" w:hAnsi="Calibri" w:cs="Calibri"/>
          <w:color w:val="000000" w:themeColor="text1"/>
        </w:rPr>
        <w:t xml:space="preserve">Birmingham Women’s &amp; Children’s NHS Trust has </w:t>
      </w:r>
      <w:hyperlink r:id="rId8" w:history="1">
        <w:r w:rsidRPr="005172A7">
          <w:rPr>
            <w:rStyle w:val="Hyperlink"/>
            <w:rFonts w:ascii="Calibri" w:hAnsi="Calibri" w:cs="Calibri"/>
          </w:rPr>
          <w:t>information online about home safety</w:t>
        </w:r>
      </w:hyperlink>
      <w:r>
        <w:rPr>
          <w:rFonts w:ascii="Calibri" w:hAnsi="Calibri" w:cs="Calibri"/>
          <w:color w:val="000000" w:themeColor="text1"/>
        </w:rPr>
        <w:t>.</w:t>
      </w:r>
    </w:p>
    <w:p w14:paraId="21C990D7" w14:textId="77777777" w:rsidR="005B3F18" w:rsidRPr="005172A7" w:rsidRDefault="005B3F18" w:rsidP="005B3F18">
      <w:pPr>
        <w:pStyle w:val="ListParagraph"/>
        <w:numPr>
          <w:ilvl w:val="0"/>
          <w:numId w:val="1"/>
        </w:numPr>
        <w:rPr>
          <w:rFonts w:ascii="Calibri" w:hAnsi="Calibri" w:cs="Calibri"/>
          <w:color w:val="000000" w:themeColor="text1"/>
        </w:rPr>
      </w:pPr>
      <w:r w:rsidRPr="005172A7">
        <w:rPr>
          <w:rFonts w:ascii="Calibri" w:hAnsi="Calibri" w:cs="Calibri"/>
          <w:color w:val="000000" w:themeColor="text1"/>
        </w:rPr>
        <w:t>Information about housing support a</w:t>
      </w:r>
      <w:r>
        <w:rPr>
          <w:rFonts w:ascii="Calibri" w:hAnsi="Calibri" w:cs="Calibri"/>
          <w:color w:val="000000" w:themeColor="text1"/>
        </w:rPr>
        <w:t>nd</w:t>
      </w:r>
      <w:r w:rsidRPr="005172A7">
        <w:rPr>
          <w:rFonts w:ascii="Calibri" w:hAnsi="Calibri" w:cs="Calibri"/>
          <w:color w:val="000000" w:themeColor="text1"/>
        </w:rPr>
        <w:t xml:space="preserve"> bed poverty is included in our </w:t>
      </w:r>
      <w:hyperlink r:id="rId9" w:history="1">
        <w:r w:rsidRPr="005172A7">
          <w:rPr>
            <w:rStyle w:val="Hyperlink"/>
            <w:rFonts w:ascii="Calibri" w:hAnsi="Calibri" w:cs="Calibri"/>
          </w:rPr>
          <w:t>Resources to Prevent Neglect</w:t>
        </w:r>
      </w:hyperlink>
      <w:r>
        <w:rPr>
          <w:rFonts w:ascii="Calibri" w:hAnsi="Calibri" w:cs="Calibri"/>
          <w:color w:val="000000" w:themeColor="text1"/>
        </w:rPr>
        <w:t>.</w:t>
      </w:r>
    </w:p>
    <w:p w14:paraId="138F4034" w14:textId="77777777" w:rsidR="005B3F18" w:rsidRPr="005B3F18" w:rsidRDefault="005B3F18" w:rsidP="005B3F18"/>
    <w:sectPr w:rsidR="005B3F18" w:rsidRPr="005B3F18">
      <w:headerReference w:type="default" r:id="rId10"/>
      <w:footerReference w:type="even" r:id="rId11"/>
      <w:footerReference w:type="defaul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2DF6C" w14:textId="77777777" w:rsidR="005B3F18" w:rsidRDefault="005B3F18" w:rsidP="005B3F18">
      <w:pPr>
        <w:spacing w:after="0" w:line="240" w:lineRule="auto"/>
      </w:pPr>
      <w:r>
        <w:separator/>
      </w:r>
    </w:p>
  </w:endnote>
  <w:endnote w:type="continuationSeparator" w:id="0">
    <w:p w14:paraId="5C66F61C" w14:textId="77777777" w:rsidR="005B3F18" w:rsidRDefault="005B3F18" w:rsidP="005B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18B2" w14:textId="5DF64C3E" w:rsidR="005B3F18" w:rsidRDefault="005B3F18">
    <w:pPr>
      <w:pStyle w:val="Footer"/>
    </w:pPr>
    <w:r>
      <w:rPr>
        <w:noProof/>
      </w:rPr>
      <mc:AlternateContent>
        <mc:Choice Requires="wps">
          <w:drawing>
            <wp:anchor distT="0" distB="0" distL="0" distR="0" simplePos="0" relativeHeight="251661312" behindDoc="0" locked="0" layoutInCell="1" allowOverlap="1" wp14:anchorId="4CD7CA7A" wp14:editId="0966782C">
              <wp:simplePos x="635" y="635"/>
              <wp:positionH relativeFrom="page">
                <wp:align>center</wp:align>
              </wp:positionH>
              <wp:positionV relativeFrom="page">
                <wp:align>bottom</wp:align>
              </wp:positionV>
              <wp:extent cx="459740" cy="357505"/>
              <wp:effectExtent l="0" t="0" r="16510" b="0"/>
              <wp:wrapNone/>
              <wp:docPr id="3767455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0A91F0CB" w14:textId="1BCF5884"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D7CA7A" id="_x0000_t202" coordsize="21600,21600" o:spt="202" path="m,l,21600r21600,l21600,xe">
              <v:stroke joinstyle="miter"/>
              <v:path gradientshapeok="t" o:connecttype="rect"/>
            </v:shapetype>
            <v:shape id="Text Box 3" o:spid="_x0000_s1026" type="#_x0000_t202" alt="OFFICIAL" style="position:absolute;margin-left:0;margin-top:0;width:36.2pt;height:28.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fill o:detectmouseclick="t"/>
              <v:textbox style="mso-fit-shape-to-text:t" inset="0,0,0,15pt">
                <w:txbxContent>
                  <w:p w14:paraId="0A91F0CB" w14:textId="1BCF5884"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F3977" w14:textId="5D7A411C" w:rsidR="005B3F18" w:rsidRDefault="005B3F18">
    <w:pPr>
      <w:pStyle w:val="Footer"/>
    </w:pPr>
    <w:r>
      <w:rPr>
        <w:noProof/>
      </w:rPr>
      <mc:AlternateContent>
        <mc:Choice Requires="wps">
          <w:drawing>
            <wp:anchor distT="0" distB="0" distL="0" distR="0" simplePos="0" relativeHeight="251662336" behindDoc="0" locked="0" layoutInCell="1" allowOverlap="1" wp14:anchorId="3620A69D" wp14:editId="713998C6">
              <wp:simplePos x="914400" y="10075985"/>
              <wp:positionH relativeFrom="page">
                <wp:align>center</wp:align>
              </wp:positionH>
              <wp:positionV relativeFrom="page">
                <wp:align>bottom</wp:align>
              </wp:positionV>
              <wp:extent cx="459740" cy="357505"/>
              <wp:effectExtent l="0" t="0" r="16510" b="0"/>
              <wp:wrapNone/>
              <wp:docPr id="140706570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0C9DA2B" w14:textId="0AC39358"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0A69D" id="_x0000_t202" coordsize="21600,21600" o:spt="202" path="m,l,21600r21600,l21600,xe">
              <v:stroke joinstyle="miter"/>
              <v:path gradientshapeok="t" o:connecttype="rect"/>
            </v:shapetype>
            <v:shape id="Text Box 4" o:spid="_x0000_s1027" type="#_x0000_t202" alt="OFFICIAL" style="position:absolute;margin-left:0;margin-top:0;width:36.2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" filled="f" stroked="f">
              <v:fill o:detectmouseclick="t"/>
              <v:textbox style="mso-fit-shape-to-text:t" inset="0,0,0,15pt">
                <w:txbxContent>
                  <w:p w14:paraId="70C9DA2B" w14:textId="0AC39358"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612A9" w14:textId="739D1C1D" w:rsidR="005B3F18" w:rsidRDefault="005B3F18">
    <w:pPr>
      <w:pStyle w:val="Footer"/>
    </w:pPr>
    <w:r>
      <w:rPr>
        <w:noProof/>
      </w:rPr>
      <mc:AlternateContent>
        <mc:Choice Requires="wps">
          <w:drawing>
            <wp:anchor distT="0" distB="0" distL="0" distR="0" simplePos="0" relativeHeight="251660288" behindDoc="0" locked="0" layoutInCell="1" allowOverlap="1" wp14:anchorId="6D4C6BC9" wp14:editId="16B05B5F">
              <wp:simplePos x="635" y="635"/>
              <wp:positionH relativeFrom="page">
                <wp:align>center</wp:align>
              </wp:positionH>
              <wp:positionV relativeFrom="page">
                <wp:align>bottom</wp:align>
              </wp:positionV>
              <wp:extent cx="459740" cy="357505"/>
              <wp:effectExtent l="0" t="0" r="16510" b="0"/>
              <wp:wrapNone/>
              <wp:docPr id="166794063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671DB6D" w14:textId="28FB9C92"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4C6BC9" id="_x0000_t202" coordsize="21600,21600" o:spt="202" path="m,l,21600r21600,l21600,xe">
              <v:stroke joinstyle="miter"/>
              <v:path gradientshapeok="t" o:connecttype="rect"/>
            </v:shapetype>
            <v:shape id="Text Box 2" o:spid="_x0000_s1028" type="#_x0000_t202" alt="OFFICIAL" style="position:absolute;margin-left:0;margin-top:0;width:36.2pt;height:28.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fill o:detectmouseclick="t"/>
              <v:textbox style="mso-fit-shape-to-text:t" inset="0,0,0,15pt">
                <w:txbxContent>
                  <w:p w14:paraId="1671DB6D" w14:textId="28FB9C92" w:rsidR="005B3F18" w:rsidRPr="005B3F18" w:rsidRDefault="005B3F18" w:rsidP="005B3F18">
                    <w:pPr>
                      <w:spacing w:after="0"/>
                      <w:rPr>
                        <w:rFonts w:ascii="Calibri" w:eastAsia="Calibri" w:hAnsi="Calibri" w:cs="Calibri"/>
                        <w:noProof/>
                        <w:color w:val="000000"/>
                        <w:sz w:val="20"/>
                        <w:szCs w:val="20"/>
                      </w:rPr>
                    </w:pPr>
                    <w:r w:rsidRPr="005B3F18">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5A9EF" w14:textId="77777777" w:rsidR="005B3F18" w:rsidRDefault="005B3F18" w:rsidP="005B3F18">
      <w:pPr>
        <w:spacing w:after="0" w:line="240" w:lineRule="auto"/>
      </w:pPr>
      <w:r>
        <w:separator/>
      </w:r>
    </w:p>
  </w:footnote>
  <w:footnote w:type="continuationSeparator" w:id="0">
    <w:p w14:paraId="18842A17" w14:textId="77777777" w:rsidR="005B3F18" w:rsidRDefault="005B3F18" w:rsidP="005B3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424E" w14:textId="1370F0E0" w:rsidR="005B3F18" w:rsidRDefault="005B3F18">
    <w:pPr>
      <w:pStyle w:val="Header"/>
    </w:pPr>
    <w:r>
      <w:rPr>
        <w:noProof/>
      </w:rPr>
      <w:drawing>
        <wp:anchor distT="0" distB="0" distL="114300" distR="114300" simplePos="0" relativeHeight="251659264" behindDoc="0" locked="0" layoutInCell="1" allowOverlap="1" wp14:anchorId="6ED582DC" wp14:editId="22772FE7">
          <wp:simplePos x="0" y="0"/>
          <wp:positionH relativeFrom="margin">
            <wp:posOffset>4264416</wp:posOffset>
          </wp:positionH>
          <wp:positionV relativeFrom="paragraph">
            <wp:posOffset>-18806</wp:posOffset>
          </wp:positionV>
          <wp:extent cx="1774825" cy="709295"/>
          <wp:effectExtent l="0" t="0" r="0" b="0"/>
          <wp:wrapTight wrapText="bothSides">
            <wp:wrapPolygon edited="0">
              <wp:start x="0" y="0"/>
              <wp:lineTo x="0" y="20885"/>
              <wp:lineTo x="21330" y="20885"/>
              <wp:lineTo x="21330" y="0"/>
              <wp:lineTo x="0" y="0"/>
            </wp:wrapPolygon>
          </wp:wrapTight>
          <wp:docPr id="290416823" name="Picture 1" descr="A logo for a safe children'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6823" name="Picture 1" descr="A logo for a safe children's organiz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4825" cy="709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D04125"/>
    <w:multiLevelType w:val="hybridMultilevel"/>
    <w:tmpl w:val="DA800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95790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18"/>
    <w:rsid w:val="000B77ED"/>
    <w:rsid w:val="005B3F18"/>
    <w:rsid w:val="00633B75"/>
    <w:rsid w:val="00AC0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921C0"/>
  <w15:chartTrackingRefBased/>
  <w15:docId w15:val="{EB8050EB-8459-4D27-9552-92C750BA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F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3F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3F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3F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3F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3F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F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F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F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3F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3F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3F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3F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3F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F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F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F18"/>
    <w:rPr>
      <w:rFonts w:eastAsiaTheme="majorEastAsia" w:cstheme="majorBidi"/>
      <w:color w:val="272727" w:themeColor="text1" w:themeTint="D8"/>
    </w:rPr>
  </w:style>
  <w:style w:type="paragraph" w:styleId="Title">
    <w:name w:val="Title"/>
    <w:basedOn w:val="Normal"/>
    <w:next w:val="Normal"/>
    <w:link w:val="TitleChar"/>
    <w:uiPriority w:val="10"/>
    <w:qFormat/>
    <w:rsid w:val="005B3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F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F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F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F18"/>
    <w:pPr>
      <w:spacing w:before="160"/>
      <w:jc w:val="center"/>
    </w:pPr>
    <w:rPr>
      <w:i/>
      <w:iCs/>
      <w:color w:val="404040" w:themeColor="text1" w:themeTint="BF"/>
    </w:rPr>
  </w:style>
  <w:style w:type="character" w:customStyle="1" w:styleId="QuoteChar">
    <w:name w:val="Quote Char"/>
    <w:basedOn w:val="DefaultParagraphFont"/>
    <w:link w:val="Quote"/>
    <w:uiPriority w:val="29"/>
    <w:rsid w:val="005B3F18"/>
    <w:rPr>
      <w:i/>
      <w:iCs/>
      <w:color w:val="404040" w:themeColor="text1" w:themeTint="BF"/>
    </w:rPr>
  </w:style>
  <w:style w:type="paragraph" w:styleId="ListParagraph">
    <w:name w:val="List Paragraph"/>
    <w:basedOn w:val="Normal"/>
    <w:uiPriority w:val="34"/>
    <w:qFormat/>
    <w:rsid w:val="005B3F18"/>
    <w:pPr>
      <w:ind w:left="720"/>
      <w:contextualSpacing/>
    </w:pPr>
  </w:style>
  <w:style w:type="character" w:styleId="IntenseEmphasis">
    <w:name w:val="Intense Emphasis"/>
    <w:basedOn w:val="DefaultParagraphFont"/>
    <w:uiPriority w:val="21"/>
    <w:qFormat/>
    <w:rsid w:val="005B3F18"/>
    <w:rPr>
      <w:i/>
      <w:iCs/>
      <w:color w:val="0F4761" w:themeColor="accent1" w:themeShade="BF"/>
    </w:rPr>
  </w:style>
  <w:style w:type="paragraph" w:styleId="IntenseQuote">
    <w:name w:val="Intense Quote"/>
    <w:basedOn w:val="Normal"/>
    <w:next w:val="Normal"/>
    <w:link w:val="IntenseQuoteChar"/>
    <w:uiPriority w:val="30"/>
    <w:qFormat/>
    <w:rsid w:val="005B3F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3F18"/>
    <w:rPr>
      <w:i/>
      <w:iCs/>
      <w:color w:val="0F4761" w:themeColor="accent1" w:themeShade="BF"/>
    </w:rPr>
  </w:style>
  <w:style w:type="character" w:styleId="IntenseReference">
    <w:name w:val="Intense Reference"/>
    <w:basedOn w:val="DefaultParagraphFont"/>
    <w:uiPriority w:val="32"/>
    <w:qFormat/>
    <w:rsid w:val="005B3F18"/>
    <w:rPr>
      <w:b/>
      <w:bCs/>
      <w:smallCaps/>
      <w:color w:val="0F4761" w:themeColor="accent1" w:themeShade="BF"/>
      <w:spacing w:val="5"/>
    </w:rPr>
  </w:style>
  <w:style w:type="paragraph" w:styleId="Header">
    <w:name w:val="header"/>
    <w:basedOn w:val="Normal"/>
    <w:link w:val="HeaderChar"/>
    <w:uiPriority w:val="99"/>
    <w:unhideWhenUsed/>
    <w:rsid w:val="005B3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F18"/>
  </w:style>
  <w:style w:type="paragraph" w:styleId="Footer">
    <w:name w:val="footer"/>
    <w:basedOn w:val="Normal"/>
    <w:link w:val="FooterChar"/>
    <w:uiPriority w:val="99"/>
    <w:unhideWhenUsed/>
    <w:rsid w:val="005B3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F18"/>
  </w:style>
  <w:style w:type="character" w:styleId="Hyperlink">
    <w:name w:val="Hyperlink"/>
    <w:basedOn w:val="DefaultParagraphFont"/>
    <w:uiPriority w:val="99"/>
    <w:unhideWhenUsed/>
    <w:rsid w:val="005B3F1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wc.nhs.uk/home-safety/"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lscpbirmingham.org.uk/learning-zone/learning-resources/neglect-and-gcp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scpbirmingham.org.uk/wp-content/uploads/2024/05/Resources-to-Prevent-Neglect-in-Birmingham.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436</Words>
  <Characters>2487</Characters>
  <Application>Microsoft Office Word</Application>
  <DocSecurity>0</DocSecurity>
  <Lines>20</Lines>
  <Paragraphs>5</Paragraphs>
  <ScaleCrop>false</ScaleCrop>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Adams</dc:creator>
  <cp:keywords/>
  <dc:description/>
  <cp:lastModifiedBy>Katherine Adams</cp:lastModifiedBy>
  <cp:revision>1</cp:revision>
  <dcterms:created xsi:type="dcterms:W3CDTF">2024-11-20T10:53:00Z</dcterms:created>
  <dcterms:modified xsi:type="dcterms:W3CDTF">2024-11-20T10:55:00Z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636ac11f,1674ae50,53de1e6d</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2024-11-20T10:55:59Z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419bc2f4-44e0-4782-b0cf-c1e579e2b733</vt:lpwstr>
  </property>
  <property fmtid="{D5CDD505-2E9C-101B-9397-08002B2CF9AE}" pid="11" name="MSIP_Label_a17471b1-27ab-4640-9264-e69a67407ca3_ContentBits">
    <vt:lpwstr>2</vt:lpwstr>
  </property>
</Properties>
</file>